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9E69EE">
                    <w:rPr>
                      <w:color w:val="000000" w:themeColor="text1"/>
                      <w:sz w:val="28"/>
                      <w:szCs w:val="28"/>
                    </w:rPr>
                    <w:t>5</w:t>
                  </w:r>
                </w:p>
                <w:p w:rsidR="00456011" w:rsidRPr="00511FD4" w:rsidRDefault="002E5B7F"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AB172B">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 xml:space="preserve">иностранной </w:t>
      </w:r>
      <w:r w:rsidRPr="005E7B6B">
        <w:rPr>
          <w:b/>
          <w:sz w:val="28"/>
        </w:rPr>
        <w:t xml:space="preserve">валюте на </w:t>
      </w:r>
      <w:r w:rsidR="00F967C2">
        <w:rPr>
          <w:b/>
          <w:sz w:val="28"/>
        </w:rPr>
        <w:t>2026</w:t>
      </w:r>
      <w:r>
        <w:rPr>
          <w:b/>
          <w:sz w:val="28"/>
        </w:rPr>
        <w:t xml:space="preserve">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w:t>
      </w:r>
      <w:r w:rsidRPr="00877AAE">
        <w:rPr>
          <w:b/>
          <w:bCs/>
          <w:color w:val="000000" w:themeColor="text1"/>
          <w:sz w:val="28"/>
          <w:szCs w:val="28"/>
        </w:rPr>
        <w:t>ов</w:t>
      </w:r>
    </w:p>
    <w:p w:rsidR="009639F9" w:rsidRDefault="009639F9" w:rsidP="009639F9">
      <w:pPr>
        <w:pStyle w:val="afc"/>
        <w:autoSpaceDE w:val="0"/>
        <w:autoSpaceDN w:val="0"/>
        <w:adjustRightInd w:val="0"/>
        <w:spacing w:after="0" w:line="240" w:lineRule="auto"/>
        <w:ind w:firstLine="709"/>
        <w:jc w:val="center"/>
        <w:rPr>
          <w:rFonts w:ascii="Times New Roman" w:hAnsi="Times New Roman"/>
          <w:bCs/>
          <w:sz w:val="26"/>
          <w:szCs w:val="26"/>
        </w:rPr>
      </w:pPr>
    </w:p>
    <w:tbl>
      <w:tblPr>
        <w:tblStyle w:val="a3"/>
        <w:tblW w:w="15163" w:type="dxa"/>
        <w:tblLayout w:type="fixed"/>
        <w:tblLook w:val="04A0" w:firstRow="1" w:lastRow="0" w:firstColumn="1" w:lastColumn="0" w:noHBand="0" w:noVBand="1"/>
      </w:tblPr>
      <w:tblGrid>
        <w:gridCol w:w="624"/>
        <w:gridCol w:w="2154"/>
        <w:gridCol w:w="1928"/>
        <w:gridCol w:w="2268"/>
        <w:gridCol w:w="1243"/>
        <w:gridCol w:w="850"/>
        <w:gridCol w:w="851"/>
        <w:gridCol w:w="850"/>
        <w:gridCol w:w="2127"/>
        <w:gridCol w:w="2268"/>
      </w:tblGrid>
      <w:tr w:rsidR="009639F9" w:rsidRPr="00743B8E" w:rsidTr="00EF4FCE">
        <w:trPr>
          <w:trHeight w:val="910"/>
        </w:trPr>
        <w:tc>
          <w:tcPr>
            <w:tcW w:w="62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w:t>
            </w:r>
            <w:r>
              <w:rPr>
                <w:sz w:val="28"/>
                <w:szCs w:val="28"/>
              </w:rPr>
              <w:br/>
            </w:r>
            <w:r w:rsidRPr="00743B8E">
              <w:rPr>
                <w:sz w:val="28"/>
                <w:szCs w:val="28"/>
              </w:rPr>
              <w:t>п/п</w:t>
            </w:r>
          </w:p>
        </w:tc>
        <w:tc>
          <w:tcPr>
            <w:tcW w:w="215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Направления (цели) гарантирования</w:t>
            </w:r>
          </w:p>
        </w:tc>
        <w:tc>
          <w:tcPr>
            <w:tcW w:w="192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Категории и (или) наименования принципалов</w:t>
            </w:r>
          </w:p>
        </w:tc>
        <w:tc>
          <w:tcPr>
            <w:tcW w:w="226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Валюта обязательств по гарантиям и обеспечиваемым ими обязательствам</w:t>
            </w:r>
          </w:p>
        </w:tc>
        <w:tc>
          <w:tcPr>
            <w:tcW w:w="3794" w:type="dxa"/>
            <w:gridSpan w:val="4"/>
            <w:vAlign w:val="center"/>
          </w:tcPr>
          <w:p w:rsidR="009639F9" w:rsidRPr="00743B8E" w:rsidRDefault="009639F9" w:rsidP="009639F9">
            <w:pPr>
              <w:autoSpaceDE w:val="0"/>
              <w:autoSpaceDN w:val="0"/>
              <w:adjustRightInd w:val="0"/>
              <w:jc w:val="center"/>
              <w:rPr>
                <w:bCs/>
                <w:strike/>
                <w:sz w:val="28"/>
                <w:szCs w:val="28"/>
              </w:rPr>
            </w:pPr>
            <w:r w:rsidRPr="00743B8E">
              <w:rPr>
                <w:sz w:val="28"/>
                <w:szCs w:val="28"/>
              </w:rPr>
              <w:t>Объем государственных гарантий</w:t>
            </w:r>
            <w:r>
              <w:rPr>
                <w:sz w:val="28"/>
                <w:szCs w:val="28"/>
              </w:rPr>
              <w:t xml:space="preserve"> </w:t>
            </w:r>
            <w:r w:rsidRPr="00743B8E">
              <w:rPr>
                <w:sz w:val="28"/>
                <w:szCs w:val="28"/>
              </w:rPr>
              <w:t>города Москвы</w:t>
            </w:r>
          </w:p>
        </w:tc>
        <w:tc>
          <w:tcPr>
            <w:tcW w:w="2127" w:type="dxa"/>
            <w:vMerge w:val="restart"/>
            <w:vAlign w:val="center"/>
          </w:tcPr>
          <w:p w:rsidR="009639F9" w:rsidRPr="00743B8E" w:rsidRDefault="009639F9" w:rsidP="009639F9">
            <w:pPr>
              <w:autoSpaceDE w:val="0"/>
              <w:autoSpaceDN w:val="0"/>
              <w:adjustRightInd w:val="0"/>
              <w:ind w:left="34"/>
              <w:jc w:val="center"/>
              <w:rPr>
                <w:bCs/>
                <w:strike/>
                <w:sz w:val="28"/>
                <w:szCs w:val="28"/>
              </w:rPr>
            </w:pPr>
            <w:r w:rsidRPr="00743B8E">
              <w:rPr>
                <w:sz w:val="28"/>
                <w:szCs w:val="28"/>
              </w:rPr>
              <w:t>Наличие</w:t>
            </w:r>
            <w:r>
              <w:rPr>
                <w:sz w:val="28"/>
                <w:szCs w:val="28"/>
              </w:rPr>
              <w:t xml:space="preserve"> </w:t>
            </w:r>
            <w:r w:rsidRPr="00743B8E">
              <w:rPr>
                <w:sz w:val="28"/>
                <w:szCs w:val="28"/>
              </w:rPr>
              <w:t>права регрессного требования гаранта к принципалам</w:t>
            </w:r>
          </w:p>
        </w:tc>
        <w:tc>
          <w:tcPr>
            <w:tcW w:w="2268" w:type="dxa"/>
            <w:vMerge w:val="restart"/>
            <w:vAlign w:val="center"/>
          </w:tcPr>
          <w:p w:rsidR="009639F9" w:rsidRPr="00743B8E" w:rsidRDefault="009639F9" w:rsidP="009639F9">
            <w:pPr>
              <w:autoSpaceDE w:val="0"/>
              <w:autoSpaceDN w:val="0"/>
              <w:adjustRightInd w:val="0"/>
              <w:ind w:left="-107"/>
              <w:jc w:val="center"/>
              <w:rPr>
                <w:sz w:val="28"/>
                <w:szCs w:val="28"/>
              </w:rPr>
            </w:pPr>
            <w:r w:rsidRPr="00743B8E">
              <w:rPr>
                <w:sz w:val="28"/>
                <w:szCs w:val="28"/>
              </w:rPr>
              <w:t>Иные условия предоставления и исполнения гарантий города Москвы</w:t>
            </w:r>
          </w:p>
        </w:tc>
      </w:tr>
      <w:tr w:rsidR="009639F9" w:rsidRPr="00743B8E" w:rsidTr="00EF4FCE">
        <w:trPr>
          <w:trHeight w:val="1126"/>
        </w:trPr>
        <w:tc>
          <w:tcPr>
            <w:tcW w:w="624" w:type="dxa"/>
            <w:vMerge/>
          </w:tcPr>
          <w:p w:rsidR="009639F9" w:rsidRPr="00743B8E" w:rsidRDefault="009639F9" w:rsidP="009639F9">
            <w:pPr>
              <w:autoSpaceDE w:val="0"/>
              <w:autoSpaceDN w:val="0"/>
              <w:adjustRightInd w:val="0"/>
              <w:rPr>
                <w:sz w:val="28"/>
                <w:szCs w:val="28"/>
              </w:rPr>
            </w:pPr>
          </w:p>
        </w:tc>
        <w:tc>
          <w:tcPr>
            <w:tcW w:w="2154" w:type="dxa"/>
            <w:vMerge/>
          </w:tcPr>
          <w:p w:rsidR="009639F9" w:rsidRPr="00743B8E" w:rsidRDefault="009639F9" w:rsidP="009639F9">
            <w:pPr>
              <w:autoSpaceDE w:val="0"/>
              <w:autoSpaceDN w:val="0"/>
              <w:adjustRightInd w:val="0"/>
              <w:jc w:val="center"/>
              <w:rPr>
                <w:sz w:val="28"/>
                <w:szCs w:val="28"/>
              </w:rPr>
            </w:pPr>
          </w:p>
        </w:tc>
        <w:tc>
          <w:tcPr>
            <w:tcW w:w="1928"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c>
          <w:tcPr>
            <w:tcW w:w="1243" w:type="dxa"/>
            <w:vAlign w:val="center"/>
          </w:tcPr>
          <w:p w:rsidR="009639F9" w:rsidRPr="00743B8E" w:rsidRDefault="009639F9" w:rsidP="009639F9">
            <w:pPr>
              <w:autoSpaceDE w:val="0"/>
              <w:autoSpaceDN w:val="0"/>
              <w:adjustRightInd w:val="0"/>
              <w:ind w:left="-104"/>
              <w:jc w:val="center"/>
              <w:rPr>
                <w:sz w:val="28"/>
                <w:szCs w:val="28"/>
              </w:rPr>
            </w:pPr>
            <w:r w:rsidRPr="00743B8E">
              <w:rPr>
                <w:sz w:val="28"/>
                <w:szCs w:val="28"/>
              </w:rPr>
              <w:t>Общий объем гарантий</w:t>
            </w:r>
          </w:p>
        </w:tc>
        <w:tc>
          <w:tcPr>
            <w:tcW w:w="850" w:type="dxa"/>
            <w:vAlign w:val="center"/>
          </w:tcPr>
          <w:p w:rsidR="009639F9" w:rsidRPr="00743B8E" w:rsidRDefault="00F967C2" w:rsidP="009639F9">
            <w:pPr>
              <w:autoSpaceDE w:val="0"/>
              <w:autoSpaceDN w:val="0"/>
              <w:adjustRightInd w:val="0"/>
              <w:jc w:val="center"/>
              <w:rPr>
                <w:sz w:val="28"/>
                <w:szCs w:val="28"/>
              </w:rPr>
            </w:pPr>
            <w:r>
              <w:rPr>
                <w:sz w:val="28"/>
                <w:szCs w:val="28"/>
              </w:rPr>
              <w:t>2026</w:t>
            </w:r>
            <w:r w:rsidR="009639F9" w:rsidRPr="00743B8E">
              <w:rPr>
                <w:sz w:val="28"/>
                <w:szCs w:val="28"/>
              </w:rPr>
              <w:t xml:space="preserve"> год</w:t>
            </w:r>
          </w:p>
        </w:tc>
        <w:tc>
          <w:tcPr>
            <w:tcW w:w="851" w:type="dxa"/>
            <w:vAlign w:val="center"/>
          </w:tcPr>
          <w:p w:rsidR="009639F9" w:rsidRPr="00743B8E" w:rsidRDefault="00F967C2" w:rsidP="009639F9">
            <w:pPr>
              <w:autoSpaceDE w:val="0"/>
              <w:autoSpaceDN w:val="0"/>
              <w:adjustRightInd w:val="0"/>
              <w:jc w:val="center"/>
              <w:rPr>
                <w:sz w:val="28"/>
                <w:szCs w:val="28"/>
              </w:rPr>
            </w:pPr>
            <w:r>
              <w:rPr>
                <w:sz w:val="28"/>
                <w:szCs w:val="28"/>
              </w:rPr>
              <w:t>2027</w:t>
            </w:r>
            <w:r w:rsidR="009639F9" w:rsidRPr="00743B8E">
              <w:rPr>
                <w:sz w:val="28"/>
                <w:szCs w:val="28"/>
              </w:rPr>
              <w:t xml:space="preserve"> год</w:t>
            </w:r>
          </w:p>
        </w:tc>
        <w:tc>
          <w:tcPr>
            <w:tcW w:w="850" w:type="dxa"/>
            <w:vAlign w:val="center"/>
          </w:tcPr>
          <w:p w:rsidR="009639F9" w:rsidRPr="00743B8E" w:rsidRDefault="00F967C2" w:rsidP="009639F9">
            <w:pPr>
              <w:autoSpaceDE w:val="0"/>
              <w:autoSpaceDN w:val="0"/>
              <w:adjustRightInd w:val="0"/>
              <w:jc w:val="center"/>
              <w:rPr>
                <w:sz w:val="28"/>
                <w:szCs w:val="28"/>
              </w:rPr>
            </w:pPr>
            <w:r>
              <w:rPr>
                <w:sz w:val="28"/>
                <w:szCs w:val="28"/>
              </w:rPr>
              <w:t>2028</w:t>
            </w:r>
            <w:r w:rsidR="009639F9" w:rsidRPr="00743B8E">
              <w:rPr>
                <w:sz w:val="28"/>
                <w:szCs w:val="28"/>
              </w:rPr>
              <w:t xml:space="preserve"> год</w:t>
            </w:r>
          </w:p>
        </w:tc>
        <w:tc>
          <w:tcPr>
            <w:tcW w:w="2127"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r>
      <w:tr w:rsidR="009639F9" w:rsidRPr="00743B8E" w:rsidTr="00EF4FCE">
        <w:tc>
          <w:tcPr>
            <w:tcW w:w="624" w:type="dxa"/>
          </w:tcPr>
          <w:p w:rsidR="009639F9" w:rsidRPr="00743B8E" w:rsidRDefault="009639F9" w:rsidP="009639F9">
            <w:pPr>
              <w:autoSpaceDE w:val="0"/>
              <w:autoSpaceDN w:val="0"/>
              <w:adjustRightInd w:val="0"/>
              <w:jc w:val="center"/>
              <w:rPr>
                <w:sz w:val="28"/>
                <w:szCs w:val="28"/>
              </w:rPr>
            </w:pPr>
            <w:r w:rsidRPr="00743B8E">
              <w:rPr>
                <w:sz w:val="28"/>
                <w:szCs w:val="28"/>
              </w:rPr>
              <w:t>1</w:t>
            </w:r>
          </w:p>
        </w:tc>
        <w:tc>
          <w:tcPr>
            <w:tcW w:w="2154" w:type="dxa"/>
          </w:tcPr>
          <w:p w:rsidR="009639F9" w:rsidRPr="00743B8E" w:rsidRDefault="009639F9" w:rsidP="009639F9">
            <w:pPr>
              <w:autoSpaceDE w:val="0"/>
              <w:autoSpaceDN w:val="0"/>
              <w:adjustRightInd w:val="0"/>
              <w:jc w:val="center"/>
              <w:rPr>
                <w:sz w:val="28"/>
                <w:szCs w:val="28"/>
              </w:rPr>
            </w:pPr>
            <w:r w:rsidRPr="00743B8E">
              <w:rPr>
                <w:sz w:val="28"/>
                <w:szCs w:val="28"/>
              </w:rPr>
              <w:t>2</w:t>
            </w:r>
          </w:p>
        </w:tc>
        <w:tc>
          <w:tcPr>
            <w:tcW w:w="1928" w:type="dxa"/>
          </w:tcPr>
          <w:p w:rsidR="009639F9" w:rsidRPr="00743B8E" w:rsidRDefault="009639F9" w:rsidP="009639F9">
            <w:pPr>
              <w:autoSpaceDE w:val="0"/>
              <w:autoSpaceDN w:val="0"/>
              <w:adjustRightInd w:val="0"/>
              <w:jc w:val="center"/>
              <w:rPr>
                <w:sz w:val="28"/>
                <w:szCs w:val="28"/>
              </w:rPr>
            </w:pPr>
            <w:r w:rsidRPr="00743B8E">
              <w:rPr>
                <w:sz w:val="28"/>
                <w:szCs w:val="28"/>
              </w:rPr>
              <w:t>3</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4</w:t>
            </w:r>
          </w:p>
        </w:tc>
        <w:tc>
          <w:tcPr>
            <w:tcW w:w="1243" w:type="dxa"/>
          </w:tcPr>
          <w:p w:rsidR="009639F9" w:rsidRPr="00743B8E" w:rsidRDefault="009639F9" w:rsidP="009639F9">
            <w:pPr>
              <w:autoSpaceDE w:val="0"/>
              <w:autoSpaceDN w:val="0"/>
              <w:adjustRightInd w:val="0"/>
              <w:jc w:val="center"/>
              <w:rPr>
                <w:sz w:val="28"/>
                <w:szCs w:val="28"/>
              </w:rPr>
            </w:pPr>
            <w:r w:rsidRPr="00743B8E">
              <w:rPr>
                <w:sz w:val="28"/>
                <w:szCs w:val="28"/>
              </w:rPr>
              <w:t>5</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6</w:t>
            </w:r>
          </w:p>
        </w:tc>
        <w:tc>
          <w:tcPr>
            <w:tcW w:w="851" w:type="dxa"/>
          </w:tcPr>
          <w:p w:rsidR="009639F9" w:rsidRPr="00743B8E" w:rsidRDefault="009639F9" w:rsidP="009639F9">
            <w:pPr>
              <w:autoSpaceDE w:val="0"/>
              <w:autoSpaceDN w:val="0"/>
              <w:adjustRightInd w:val="0"/>
              <w:jc w:val="center"/>
              <w:rPr>
                <w:sz w:val="28"/>
                <w:szCs w:val="28"/>
              </w:rPr>
            </w:pPr>
            <w:r w:rsidRPr="00743B8E">
              <w:rPr>
                <w:sz w:val="28"/>
                <w:szCs w:val="28"/>
              </w:rPr>
              <w:t>7</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8</w:t>
            </w:r>
          </w:p>
        </w:tc>
        <w:tc>
          <w:tcPr>
            <w:tcW w:w="2127" w:type="dxa"/>
          </w:tcPr>
          <w:p w:rsidR="009639F9" w:rsidRPr="00743B8E" w:rsidRDefault="009639F9" w:rsidP="009639F9">
            <w:pPr>
              <w:autoSpaceDE w:val="0"/>
              <w:autoSpaceDN w:val="0"/>
              <w:adjustRightInd w:val="0"/>
              <w:jc w:val="center"/>
              <w:rPr>
                <w:sz w:val="28"/>
                <w:szCs w:val="28"/>
              </w:rPr>
            </w:pPr>
            <w:r w:rsidRPr="00743B8E">
              <w:rPr>
                <w:sz w:val="28"/>
                <w:szCs w:val="28"/>
              </w:rPr>
              <w:t>9</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10</w:t>
            </w:r>
          </w:p>
        </w:tc>
      </w:tr>
      <w:tr w:rsidR="009639F9" w:rsidRPr="00743B8E" w:rsidTr="00EF4FCE">
        <w:trPr>
          <w:trHeight w:val="381"/>
        </w:trPr>
        <w:tc>
          <w:tcPr>
            <w:tcW w:w="62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5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92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243"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1"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27"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r>
    </w:tbl>
    <w:p w:rsidR="009639F9" w:rsidRDefault="009639F9" w:rsidP="009639F9">
      <w:pPr>
        <w:autoSpaceDE w:val="0"/>
        <w:autoSpaceDN w:val="0"/>
        <w:adjustRightInd w:val="0"/>
        <w:jc w:val="center"/>
        <w:rPr>
          <w:bCs/>
          <w:color w:val="000000" w:themeColor="text1"/>
          <w:sz w:val="28"/>
          <w:szCs w:val="28"/>
        </w:rPr>
      </w:pPr>
    </w:p>
    <w:p w:rsidR="00266D6F" w:rsidRPr="00260700" w:rsidRDefault="00266D6F" w:rsidP="009639F9">
      <w:pPr>
        <w:widowControl w:val="0"/>
        <w:spacing w:line="400" w:lineRule="exact"/>
        <w:jc w:val="both"/>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DED" w:rsidRDefault="00AC4DED" w:rsidP="00EA2AA8">
      <w:r>
        <w:separator/>
      </w:r>
    </w:p>
  </w:endnote>
  <w:endnote w:type="continuationSeparator" w:id="0">
    <w:p w:rsidR="00AC4DED" w:rsidRDefault="00AC4DE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D3" w:rsidRDefault="000747D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D3" w:rsidRDefault="000747D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D3" w:rsidRDefault="000747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DED" w:rsidRDefault="00AC4DED" w:rsidP="00EA2AA8">
      <w:r>
        <w:separator/>
      </w:r>
    </w:p>
  </w:footnote>
  <w:footnote w:type="continuationSeparator" w:id="0">
    <w:p w:rsidR="00AC4DED" w:rsidRDefault="00AC4DED"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D3" w:rsidRDefault="000747D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D3" w:rsidRDefault="000747D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47D3"/>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B7F"/>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69EE"/>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72B"/>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4DED"/>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0FAF25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C23A-71AA-4C93-B8E2-A054D640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2025-10-15T11:19:00Z</dcterms:created>
  <dcterms:modified xsi:type="dcterms:W3CDTF">2025-11-11T15:39:00Z</dcterms:modified>
</cp:coreProperties>
</file>